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67" w:rsidRPr="00E26467" w:rsidRDefault="002B2F4C" w:rsidP="009C48D0">
      <w:pPr>
        <w:snapToGrid w:val="0"/>
        <w:spacing w:line="360" w:lineRule="exact"/>
        <w:jc w:val="right"/>
        <w:rPr>
          <w:rFonts w:ascii="標楷體" w:eastAsia="標楷體" w:hAnsi="標楷體" w:cs="Times New Roman"/>
          <w:color w:val="000000" w:themeColor="text1"/>
          <w:szCs w:val="20"/>
        </w:rPr>
      </w:pPr>
      <w:hyperlink w:anchor="本校系科所課程結構規劃表" w:history="1">
        <w:r w:rsidR="00272B17">
          <w:rPr>
            <w:rFonts w:ascii="標楷體" w:eastAsia="標楷體" w:hAnsi="標楷體" w:cs="Times New Roman" w:hint="eastAsia"/>
            <w:color w:val="000000" w:themeColor="text1"/>
            <w:szCs w:val="20"/>
            <w:u w:val="single"/>
          </w:rPr>
          <w:t>行銷與流通管理</w:t>
        </w:r>
        <w:r w:rsidR="00E26467" w:rsidRPr="00E26467">
          <w:rPr>
            <w:rFonts w:ascii="標楷體" w:eastAsia="標楷體" w:hAnsi="標楷體" w:cs="Times New Roman" w:hint="eastAsia"/>
            <w:color w:val="000000" w:themeColor="text1"/>
            <w:szCs w:val="20"/>
            <w:u w:val="single"/>
          </w:rPr>
          <w:t xml:space="preserve">系  四技  </w:t>
        </w:r>
        <w:r w:rsidR="0062424C">
          <w:rPr>
            <w:rFonts w:ascii="Times New Roman" w:eastAsia="標楷體" w:hAnsi="Times New Roman" w:cs="Times New Roman"/>
            <w:color w:val="000000" w:themeColor="text1"/>
            <w:szCs w:val="20"/>
            <w:u w:val="single"/>
          </w:rPr>
          <w:t>1</w:t>
        </w:r>
        <w:r w:rsidR="0062424C">
          <w:rPr>
            <w:rFonts w:ascii="Times New Roman" w:eastAsia="標楷體" w:hAnsi="Times New Roman" w:cs="Times New Roman" w:hint="eastAsia"/>
            <w:color w:val="000000" w:themeColor="text1"/>
            <w:szCs w:val="20"/>
            <w:u w:val="single"/>
          </w:rPr>
          <w:t>1</w:t>
        </w:r>
        <w:r w:rsidR="004C2988">
          <w:rPr>
            <w:rFonts w:ascii="Times New Roman" w:eastAsia="標楷體" w:hAnsi="Times New Roman" w:cs="Times New Roman" w:hint="eastAsia"/>
            <w:color w:val="000000" w:themeColor="text1"/>
            <w:szCs w:val="20"/>
            <w:u w:val="single"/>
          </w:rPr>
          <w:t>1</w:t>
        </w:r>
        <w:r w:rsidR="00E26467" w:rsidRPr="00E26467">
          <w:rPr>
            <w:rFonts w:ascii="標楷體" w:eastAsia="標楷體" w:hAnsi="標楷體" w:cs="Times New Roman" w:hint="eastAsia"/>
            <w:color w:val="000000" w:themeColor="text1"/>
            <w:szCs w:val="20"/>
            <w:u w:val="single"/>
          </w:rPr>
          <w:t>學年度入學</w:t>
        </w:r>
        <w:bookmarkStart w:id="0" w:name="課程結構規劃表"/>
        <w:r w:rsidR="00E26467" w:rsidRPr="00E26467">
          <w:rPr>
            <w:rFonts w:ascii="標楷體" w:eastAsia="標楷體" w:hAnsi="標楷體" w:cs="Times New Roman" w:hint="eastAsia"/>
            <w:color w:val="000000" w:themeColor="text1"/>
            <w:szCs w:val="20"/>
            <w:u w:val="single"/>
          </w:rPr>
          <w:t>課程結構規劃表</w:t>
        </w:r>
        <w:bookmarkEnd w:id="0"/>
      </w:hyperlink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                               11</w:t>
      </w:r>
      <w:r w:rsidR="00924166">
        <w:rPr>
          <w:rFonts w:ascii="標楷體" w:eastAsia="標楷體" w:hAnsi="標楷體" w:cs="Times New Roman" w:hint="eastAsia"/>
          <w:color w:val="000000" w:themeColor="text1"/>
          <w:szCs w:val="20"/>
        </w:rPr>
        <w:t>1</w:t>
      </w:r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>.</w:t>
      </w:r>
      <w:r w:rsidR="00924166">
        <w:rPr>
          <w:rFonts w:ascii="標楷體" w:eastAsia="標楷體" w:hAnsi="標楷體" w:cs="Times New Roman" w:hint="eastAsia"/>
          <w:color w:val="000000" w:themeColor="text1"/>
          <w:szCs w:val="20"/>
        </w:rPr>
        <w:t>0</w:t>
      </w:r>
      <w:r w:rsidR="0013064E">
        <w:rPr>
          <w:rFonts w:ascii="標楷體" w:eastAsia="標楷體" w:hAnsi="標楷體" w:cs="Times New Roman"/>
          <w:color w:val="000000" w:themeColor="text1"/>
          <w:szCs w:val="20"/>
        </w:rPr>
        <w:t>6</w:t>
      </w:r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>.</w:t>
      </w:r>
      <w:r w:rsidR="0013064E">
        <w:rPr>
          <w:rFonts w:ascii="標楷體" w:eastAsia="標楷體" w:hAnsi="標楷體" w:cs="Times New Roman"/>
          <w:color w:val="000000" w:themeColor="text1"/>
          <w:szCs w:val="20"/>
        </w:rPr>
        <w:t>0</w:t>
      </w:r>
      <w:r w:rsidR="00FB5DC7">
        <w:rPr>
          <w:rFonts w:ascii="標楷體" w:eastAsia="標楷體" w:hAnsi="標楷體" w:cs="Times New Roman"/>
          <w:color w:val="000000" w:themeColor="text1"/>
          <w:szCs w:val="20"/>
        </w:rPr>
        <w:t>3</w: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09"/>
        <w:gridCol w:w="1559"/>
        <w:gridCol w:w="1276"/>
        <w:gridCol w:w="897"/>
        <w:gridCol w:w="237"/>
        <w:gridCol w:w="268"/>
        <w:gridCol w:w="936"/>
        <w:gridCol w:w="233"/>
        <w:gridCol w:w="233"/>
        <w:gridCol w:w="906"/>
        <w:gridCol w:w="259"/>
        <w:gridCol w:w="238"/>
        <w:gridCol w:w="896"/>
        <w:gridCol w:w="283"/>
        <w:gridCol w:w="223"/>
        <w:gridCol w:w="887"/>
        <w:gridCol w:w="266"/>
        <w:gridCol w:w="249"/>
        <w:gridCol w:w="856"/>
        <w:gridCol w:w="266"/>
        <w:gridCol w:w="281"/>
        <w:gridCol w:w="909"/>
        <w:gridCol w:w="238"/>
        <w:gridCol w:w="255"/>
        <w:gridCol w:w="893"/>
        <w:gridCol w:w="266"/>
        <w:gridCol w:w="244"/>
      </w:tblGrid>
      <w:tr w:rsidR="00E26467" w:rsidRPr="00E26467" w:rsidTr="00E26467">
        <w:trPr>
          <w:trHeight w:val="340"/>
          <w:tblHeader/>
          <w:jc w:val="center"/>
        </w:trPr>
        <w:tc>
          <w:tcPr>
            <w:tcW w:w="4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一年級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二年級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三年級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四年級</w:t>
            </w:r>
          </w:p>
        </w:tc>
      </w:tr>
      <w:tr w:rsidR="00E26467" w:rsidRPr="00E26467" w:rsidTr="00E26467">
        <w:trPr>
          <w:trHeight w:val="34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</w:tr>
      <w:tr w:rsidR="00E26467" w:rsidRPr="00E26467" w:rsidTr="00E26467">
        <w:trPr>
          <w:trHeight w:val="68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8A72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校共同必修課程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12學分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13064E" w:rsidP="00E264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346F79">
              <w:rPr>
                <w:rFonts w:ascii="標楷體" w:eastAsia="標楷體" w:hAnsi="標楷體" w:cs="Calibri" w:hint="eastAsia"/>
                <w:color w:val="FF0000"/>
                <w:spacing w:val="-5"/>
                <w:sz w:val="14"/>
                <w:szCs w:val="16"/>
                <w:u w:val="single"/>
              </w:rPr>
              <w:t>中文閱讀與表達</w:t>
            </w:r>
            <w:r w:rsidR="0062424C" w:rsidRPr="00B11EB6">
              <w:rPr>
                <w:rFonts w:ascii="標楷體" w:eastAsia="標楷體" w:hAnsi="標楷體" w:cs="Calibri"/>
                <w:color w:val="000000" w:themeColor="text1"/>
                <w:spacing w:val="-5"/>
                <w:sz w:val="14"/>
                <w:szCs w:val="16"/>
              </w:rPr>
              <w:t>#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62424C" w:rsidP="00E264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/>
                <w:color w:val="000000" w:themeColor="text1"/>
                <w:spacing w:val="-2"/>
                <w:sz w:val="14"/>
                <w:szCs w:val="16"/>
              </w:rPr>
              <w:t>實務應用文</w:t>
            </w:r>
            <w:r w:rsidRPr="00B11EB6">
              <w:rPr>
                <w:rFonts w:ascii="標楷體" w:eastAsia="標楷體" w:hAnsi="標楷體" w:cs="Calibri"/>
                <w:color w:val="000000" w:themeColor="text1"/>
                <w:spacing w:val="-4"/>
                <w:sz w:val="14"/>
                <w:szCs w:val="16"/>
              </w:rPr>
              <w:t>#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4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實用英文(一)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體育(一)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4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服務教育(一)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4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服務教育(二)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通識課程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核心通識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海洋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科技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與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6學分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（每領域必修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1門）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一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海洋科技探索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一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)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海洋文明發展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二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生命與倫理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二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在地文化探源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創意創新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三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創意與創新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三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運算與程式設計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博雅通識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美感與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人文素養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10學分</w:t>
            </w:r>
          </w:p>
          <w:p w:rsidR="00E26467" w:rsidRPr="008A72A3" w:rsidRDefault="00B91820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A72A3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A72A3">
              <w:rPr>
                <w:rFonts w:ascii="標楷體" w:eastAsia="標楷體" w:hAnsi="標楷體" w:cs="Times New Roman" w:hint="eastAsia"/>
                <w:sz w:val="18"/>
                <w:szCs w:val="18"/>
              </w:rPr>
              <w:t>5</w:t>
            </w:r>
            <w:r w:rsidRPr="008A72A3">
              <w:rPr>
                <w:rFonts w:ascii="標楷體" w:eastAsia="標楷體" w:hAnsi="標楷體" w:cs="Times New Roman"/>
                <w:sz w:val="18"/>
                <w:szCs w:val="18"/>
              </w:rPr>
              <w:t>大課群至 少任選 3 課 群）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科技與環境永續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社會與知識經濟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歷史與多元思維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與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未來趨勢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博雅通識/學分數/時數</w:t>
            </w:r>
          </w:p>
        </w:tc>
      </w:tr>
      <w:tr w:rsidR="00E26467" w:rsidRPr="00E26467" w:rsidTr="00E26467">
        <w:trPr>
          <w:trHeight w:val="238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跨課群認列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通識微學分(一)1、通識微學分(二)1</w:t>
            </w:r>
          </w:p>
        </w:tc>
      </w:tr>
      <w:tr w:rsidR="00E26467" w:rsidRPr="00E26467" w:rsidTr="00E26467">
        <w:trPr>
          <w:trHeight w:val="124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學院共同課程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</w:t>
            </w:r>
            <w:r w:rsid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72B1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門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/應修學分數</w:t>
            </w:r>
            <w:r w:rsid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272B1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672ED6" w:rsidP="00672ED6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企業倫理與永續發展</w:t>
            </w:r>
            <w:r w:rsidR="00E26467"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E26467"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272B17" w:rsidRPr="00E26467" w:rsidTr="00E26467">
        <w:trPr>
          <w:trHeight w:val="193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lastRenderedPageBreak/>
              <w:t>學院跨領域課程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應修課程數/應修學分數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機器學習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、智慧商務導論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、智慧科技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、基礎統計學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</w:p>
        </w:tc>
      </w:tr>
      <w:tr w:rsidR="00BD52E1" w:rsidRPr="00E26467" w:rsidTr="0045131B">
        <w:trPr>
          <w:trHeight w:val="819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  <w:u w:val="single"/>
              </w:rPr>
              <w:t>系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專業課程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21門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/應修學分數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行銷管理(一)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經濟學(一)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4C2988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4C298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統計學(一)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實務專題(上)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BD52E1" w:rsidRPr="00FB5DC7" w:rsidRDefault="00BD52E1" w:rsidP="00BD52E1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BD52E1" w:rsidRPr="00FB5DC7" w:rsidRDefault="00BD52E1" w:rsidP="00BD52E1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66534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865F4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FD3D4D" w:rsidRDefault="007865F4" w:rsidP="007865F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行銷企劃學程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整合行銷溝通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銷售管理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產品發展管理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訂價管理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國際行銷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無店鋪行銷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網路與社群行銷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產業行銷顧客關係管理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行銷企劃實務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865F4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FD3D4D" w:rsidRDefault="007865F4" w:rsidP="007865F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流通營運學程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1170A0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暑期實習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智慧零售實作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商品管理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零售管理實務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賣場陳列與佈置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國際流通管理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門市服務管理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企業實習1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服務業作業管理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商店規劃與設計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11340" w:rsidRPr="00265E59" w:rsidRDefault="00411340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11340" w:rsidRPr="00265E59" w:rsidRDefault="00411340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265E5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0852F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門市服務管理</w:t>
            </w:r>
          </w:p>
          <w:p w:rsidR="007865F4" w:rsidRPr="000852F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企業實習2</w:t>
            </w:r>
          </w:p>
          <w:p w:rsidR="007865F4" w:rsidRPr="000852F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大型店經營實務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0852F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7865F4" w:rsidRPr="000852F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0852F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46EA1" w:rsidRPr="000852F7" w:rsidRDefault="00146EA1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0852F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46EA1" w:rsidRDefault="00146EA1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0852F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學期實習1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業態專題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學期實習2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E824E9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</w:tr>
      <w:tr w:rsidR="007865F4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bookmarkStart w:id="1" w:name="_GoBack" w:colFirst="16" w:colLast="18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FD3D4D" w:rsidRDefault="007865F4" w:rsidP="007865F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其他專業選修課程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E26467" w:rsidRDefault="007865F4" w:rsidP="007865F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1170A0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心理學</w:t>
            </w:r>
          </w:p>
          <w:p w:rsidR="007865F4" w:rsidRPr="001170A0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財務報表分析</w:t>
            </w: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商業自動化</w:t>
            </w: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行銷研究問卷資料分析</w:t>
            </w: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組織行為</w:t>
            </w:r>
          </w:p>
          <w:p w:rsidR="00FB5DC7" w:rsidRPr="00AC059A" w:rsidRDefault="00FB5DC7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B5DC7" w:rsidRPr="00AC059A" w:rsidRDefault="00FB5DC7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AC059A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B5DC7" w:rsidRPr="00AC059A" w:rsidRDefault="00FB5DC7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大數據資料分析與應用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RFID與物聯網概論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智慧商務導論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虛實整合新零售專題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人力資源管理</w:t>
            </w:r>
          </w:p>
          <w:p w:rsidR="00FB5DC7" w:rsidRPr="0013064E" w:rsidRDefault="00FB5DC7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商業模式與創新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021BE" w:rsidRPr="0013064E" w:rsidRDefault="008021BE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B5DC7" w:rsidRPr="0013064E" w:rsidRDefault="00FB5DC7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B5DC7" w:rsidRPr="0013064E" w:rsidRDefault="00FB5DC7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021BE" w:rsidRPr="0013064E" w:rsidRDefault="008021BE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13064E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B5DC7" w:rsidRPr="0013064E" w:rsidRDefault="00FB5DC7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B5DC7" w:rsidRPr="0013064E" w:rsidRDefault="00FB5DC7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64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電子商務與網路購物平台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數位創業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行動商務</w:t>
            </w:r>
          </w:p>
          <w:p w:rsidR="002304E8" w:rsidRPr="00FB5DC7" w:rsidRDefault="002304E8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2304E8" w:rsidRPr="00FB5DC7" w:rsidRDefault="002304E8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865F4" w:rsidRPr="00FB5DC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2304E8" w:rsidRPr="00FB5DC7" w:rsidRDefault="002304E8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FB5DC7" w:rsidRDefault="007865F4" w:rsidP="007865F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F4" w:rsidRPr="001170A0" w:rsidRDefault="007865F4" w:rsidP="007865F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4" w:rsidRPr="00665347" w:rsidRDefault="007865F4" w:rsidP="007865F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1"/>
    <w:p w:rsidR="00E26467" w:rsidRPr="00E26467" w:rsidRDefault="00E26467" w:rsidP="00E26467">
      <w:pPr>
        <w:snapToGrid w:val="0"/>
        <w:spacing w:line="300" w:lineRule="exact"/>
        <w:ind w:leftChars="177" w:left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/>
          <w:b/>
          <w:bCs/>
          <w:color w:val="000000" w:themeColor="text1"/>
          <w:szCs w:val="20"/>
        </w:rPr>
        <w:t>備註：</w:t>
      </w:r>
      <w:r w:rsidRPr="00E26467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</w:p>
    <w:p w:rsidR="00E26467" w:rsidRPr="00E26467" w:rsidRDefault="00E26467" w:rsidP="00E26467">
      <w:pPr>
        <w:snapToGrid w:val="0"/>
        <w:spacing w:line="300" w:lineRule="exact"/>
        <w:ind w:leftChars="413" w:left="991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一、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畢業總學分數為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128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</w:t>
      </w: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E26467" w:rsidRPr="00E26467" w:rsidRDefault="00E26467" w:rsidP="00E26467">
      <w:pPr>
        <w:snapToGrid w:val="0"/>
        <w:spacing w:line="300" w:lineRule="exact"/>
        <w:ind w:leftChars="413" w:left="991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二、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必修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61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學分，選修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39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學分。（不含校共同必修課程及通識課程的學分數）</w:t>
      </w:r>
    </w:p>
    <w:p w:rsidR="00E26467" w:rsidRPr="00E26467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三、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校共同必修課程及通識課程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28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學分；相關規定依據本校「共同教育課程實施辦法」、「共同教育課程結構規劃表」及「語言教學實施要點」。</w:t>
      </w:r>
    </w:p>
    <w:p w:rsidR="00E26467" w:rsidRPr="00924166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Times New Roman" w:eastAsia="標楷體" w:hAnsi="Times New Roman" w:cs="Times New Roman"/>
          <w:b/>
          <w:szCs w:val="24"/>
        </w:rPr>
      </w:pPr>
      <w:r w:rsidRPr="00924166">
        <w:rPr>
          <w:rFonts w:ascii="標楷體" w:eastAsia="標楷體" w:hAnsi="標楷體" w:cs="Times New Roman" w:hint="eastAsia"/>
          <w:szCs w:val="20"/>
        </w:rPr>
        <w:t>四、</w:t>
      </w:r>
      <w:r w:rsidR="0062424C" w:rsidRPr="00924166">
        <w:rPr>
          <w:rFonts w:ascii="標楷體" w:eastAsia="標楷體" w:hAnsi="標楷體" w:cs="新細明體"/>
          <w:szCs w:val="24"/>
        </w:rPr>
        <w:t>須修滿英</w:t>
      </w:r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外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語</w:t>
      </w:r>
      <w:r w:rsidR="0062424C" w:rsidRPr="00924166">
        <w:rPr>
          <w:rFonts w:ascii="標楷體" w:eastAsia="標楷體" w:hAnsi="標楷體" w:cs="Calibri"/>
          <w:szCs w:val="24"/>
        </w:rPr>
        <w:t>8</w:t>
      </w:r>
      <w:r w:rsidR="0062424C" w:rsidRPr="00924166">
        <w:rPr>
          <w:rFonts w:ascii="標楷體" w:eastAsia="標楷體" w:hAnsi="標楷體" w:cs="新細明體"/>
          <w:szCs w:val="24"/>
        </w:rPr>
        <w:t>學分，本國籍學生英語畢業門檻為等同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5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B1</w:t>
      </w:r>
      <w:r w:rsidR="0062424C" w:rsidRPr="00924166">
        <w:rPr>
          <w:rFonts w:ascii="標楷體" w:eastAsia="標楷體" w:hAnsi="標楷體" w:cs="新細明體"/>
          <w:szCs w:val="24"/>
        </w:rPr>
        <w:t>以上程度之</w:t>
      </w:r>
      <w:r w:rsidR="0062424C" w:rsidRPr="00924166">
        <w:rPr>
          <w:rFonts w:ascii="標楷體" w:eastAsia="標楷體" w:hAnsi="標楷體" w:cs="新細明體" w:hint="eastAsia"/>
          <w:szCs w:val="24"/>
          <w:u w:val="single"/>
        </w:rPr>
        <w:t>各類</w:t>
      </w:r>
      <w:r w:rsidR="0062424C" w:rsidRPr="00924166">
        <w:rPr>
          <w:rFonts w:ascii="標楷體" w:eastAsia="標楷體" w:hAnsi="標楷體" w:cs="新細明體"/>
          <w:szCs w:val="24"/>
        </w:rPr>
        <w:t>英檢成績</w:t>
      </w:r>
      <w:r w:rsidR="0062424C" w:rsidRPr="00924166">
        <w:rPr>
          <w:rFonts w:ascii="標楷體" w:eastAsia="標楷體" w:hAnsi="標楷體" w:cs="Calibri"/>
          <w:szCs w:val="24"/>
        </w:rPr>
        <w:t>;</w:t>
      </w:r>
      <w:r w:rsidR="0062424C" w:rsidRPr="00924166">
        <w:rPr>
          <w:rFonts w:hint="eastAsia"/>
          <w:szCs w:val="24"/>
        </w:rPr>
        <w:t xml:space="preserve"> </w:t>
      </w:r>
      <w:r w:rsidR="0062424C" w:rsidRPr="00924166">
        <w:rPr>
          <w:rFonts w:ascii="標楷體" w:eastAsia="標楷體" w:hAnsi="標楷體" w:cs="Calibri" w:hint="eastAsia"/>
          <w:szCs w:val="24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r w:rsidR="0062424C" w:rsidRPr="00924166">
        <w:rPr>
          <w:rFonts w:ascii="標楷體" w:eastAsia="標楷體" w:hAnsi="標楷體" w:cs="新細明體"/>
          <w:szCs w:val="24"/>
        </w:rPr>
        <w:t>多益成績達</w:t>
      </w:r>
      <w:r w:rsidR="0062424C" w:rsidRPr="00924166">
        <w:rPr>
          <w:rFonts w:ascii="標楷體" w:eastAsia="標楷體" w:hAnsi="標楷體" w:cs="Calibri"/>
          <w:szCs w:val="24"/>
        </w:rPr>
        <w:t>550</w:t>
      </w:r>
      <w:r w:rsidR="0062424C" w:rsidRPr="00924166">
        <w:rPr>
          <w:rFonts w:ascii="標楷體" w:eastAsia="標楷體" w:hAnsi="標楷體" w:cs="新細明體"/>
          <w:szCs w:val="24"/>
        </w:rPr>
        <w:t>分</w:t>
      </w:r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或等同</w:t>
      </w:r>
      <w:r w:rsidR="0062424C" w:rsidRPr="00924166">
        <w:rPr>
          <w:rFonts w:ascii="標楷體" w:eastAsia="標楷體" w:hAnsi="標楷體" w:cs="新細明體"/>
          <w:spacing w:val="13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11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B1</w:t>
      </w:r>
      <w:r w:rsidR="0062424C" w:rsidRPr="00924166">
        <w:rPr>
          <w:rFonts w:ascii="標楷體" w:eastAsia="標楷體" w:hAnsi="標楷體" w:cs="新細明體"/>
          <w:szCs w:val="24"/>
        </w:rPr>
        <w:t>等級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以上者得免修大一英語</w:t>
      </w:r>
      <w:r w:rsidR="0062424C" w:rsidRPr="00924166">
        <w:rPr>
          <w:rFonts w:ascii="標楷體" w:eastAsia="標楷體" w:hAnsi="標楷體" w:cs="Calibri"/>
          <w:szCs w:val="24"/>
        </w:rPr>
        <w:t>(4</w:t>
      </w:r>
      <w:r w:rsidR="0062424C" w:rsidRPr="00924166">
        <w:rPr>
          <w:rFonts w:ascii="標楷體" w:eastAsia="標楷體" w:hAnsi="標楷體" w:cs="新細明體"/>
          <w:szCs w:val="24"/>
        </w:rPr>
        <w:t>學分</w:t>
      </w:r>
      <w:r w:rsidR="0062424C" w:rsidRPr="00924166">
        <w:rPr>
          <w:rFonts w:ascii="標楷體" w:eastAsia="標楷體" w:hAnsi="標楷體" w:cs="Calibri"/>
          <w:szCs w:val="24"/>
        </w:rPr>
        <w:t>);</w:t>
      </w:r>
      <w:r w:rsidR="0062424C" w:rsidRPr="00924166">
        <w:rPr>
          <w:rFonts w:ascii="標楷體" w:eastAsia="標楷體" w:hAnsi="標楷體" w:cs="新細明體"/>
          <w:szCs w:val="24"/>
        </w:rPr>
        <w:t>多益成績達</w:t>
      </w:r>
      <w:r w:rsidR="0062424C" w:rsidRPr="00924166">
        <w:rPr>
          <w:rFonts w:ascii="標楷體" w:eastAsia="標楷體" w:hAnsi="標楷體" w:cs="Calibri"/>
          <w:szCs w:val="24"/>
        </w:rPr>
        <w:t>785</w:t>
      </w:r>
      <w:r w:rsidR="0062424C" w:rsidRPr="00924166">
        <w:rPr>
          <w:rFonts w:ascii="標楷體" w:eastAsia="標楷體" w:hAnsi="標楷體" w:cs="新細明體"/>
          <w:szCs w:val="24"/>
        </w:rPr>
        <w:t>分</w:t>
      </w:r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或等同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11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B2</w:t>
      </w:r>
      <w:r w:rsidR="0062424C" w:rsidRPr="00924166">
        <w:rPr>
          <w:rFonts w:ascii="標楷體" w:eastAsia="標楷體" w:hAnsi="標楷體" w:cs="新細明體"/>
          <w:szCs w:val="24"/>
        </w:rPr>
        <w:lastRenderedPageBreak/>
        <w:t>等級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以上者得免修大一、大二英語</w:t>
      </w:r>
      <w:r w:rsidR="0062424C" w:rsidRPr="00924166">
        <w:rPr>
          <w:rFonts w:ascii="標楷體" w:eastAsia="標楷體" w:hAnsi="標楷體" w:cs="Calibri"/>
          <w:szCs w:val="24"/>
        </w:rPr>
        <w:t>(8</w:t>
      </w:r>
      <w:r w:rsidR="0062424C" w:rsidRPr="00924166">
        <w:rPr>
          <w:rFonts w:ascii="標楷體" w:eastAsia="標楷體" w:hAnsi="標楷體" w:cs="新細明體"/>
          <w:szCs w:val="24"/>
        </w:rPr>
        <w:t>學分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，但須選修主題</w:t>
      </w:r>
      <w:r w:rsidR="0062424C" w:rsidRPr="00924166">
        <w:rPr>
          <w:rFonts w:ascii="標楷體" w:eastAsia="標楷體" w:hAnsi="標楷體" w:cs="新細明體"/>
          <w:spacing w:val="-1"/>
          <w:szCs w:val="24"/>
        </w:rPr>
        <w:t>式英語或其他</w:t>
      </w:r>
      <w:r w:rsidR="0062424C" w:rsidRPr="00924166">
        <w:rPr>
          <w:rFonts w:ascii="標楷體" w:eastAsia="標楷體" w:hAnsi="標楷體" w:cs="新細明體"/>
          <w:szCs w:val="24"/>
        </w:rPr>
        <w:t>外語課程補足語言畢業學分數。其他外語課程請參閱外語教育中心課程結構規劃表。</w:t>
      </w:r>
    </w:p>
    <w:p w:rsidR="00E26467" w:rsidRPr="00E26467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五、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E26467" w:rsidRPr="00E26467" w:rsidRDefault="00E26467" w:rsidP="00E26467">
      <w:pPr>
        <w:snapToGrid w:val="0"/>
        <w:spacing w:line="300" w:lineRule="exact"/>
        <w:ind w:leftChars="413" w:left="1454" w:hangingChars="193" w:hanging="463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六、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系所訂定條件（學程、檢定、證照、承認外系學分及其他）：</w:t>
      </w:r>
    </w:p>
    <w:p w:rsidR="00BD52E1" w:rsidRPr="00E824E9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 xml:space="preserve">  a.承認外系課程9學分。</w:t>
      </w:r>
    </w:p>
    <w:p w:rsidR="00BD52E1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b.</w:t>
      </w:r>
      <w:r w:rsidRPr="00377A72">
        <w:rPr>
          <w:rFonts w:ascii="標楷體" w:eastAsia="標楷體" w:hAnsi="標楷體" w:hint="eastAsia"/>
          <w:color w:val="000000"/>
        </w:rPr>
        <w:t>行銷管理(一)當學期未通過者,不得選修行銷管理(二)(擋修)。</w:t>
      </w:r>
    </w:p>
    <w:p w:rsidR="00BD52E1" w:rsidRPr="00665347" w:rsidRDefault="00BD52E1" w:rsidP="00BD52E1">
      <w:pPr>
        <w:snapToGrid w:val="0"/>
        <w:spacing w:line="300" w:lineRule="exact"/>
        <w:ind w:leftChars="413" w:left="991"/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c.</w:t>
      </w:r>
      <w:r>
        <w:rPr>
          <w:rFonts w:ascii="標楷體" w:eastAsia="標楷體" w:hAnsi="標楷體" w:hint="eastAsia"/>
          <w:szCs w:val="32"/>
        </w:rPr>
        <w:t>凡未修過高中(職)「會計學」課程者，需修讀本系開設「會計學」課程。</w:t>
      </w:r>
    </w:p>
    <w:p w:rsidR="009E1925" w:rsidRPr="00BD52E1" w:rsidRDefault="009E1925" w:rsidP="00272B17">
      <w:pPr>
        <w:snapToGrid w:val="0"/>
        <w:spacing w:line="360" w:lineRule="exact"/>
        <w:jc w:val="center"/>
      </w:pPr>
    </w:p>
    <w:sectPr w:rsidR="009E1925" w:rsidRPr="00BD52E1" w:rsidSect="00E264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EA" w:rsidRDefault="00EE1FEA" w:rsidP="00642766">
      <w:r>
        <w:separator/>
      </w:r>
    </w:p>
  </w:endnote>
  <w:endnote w:type="continuationSeparator" w:id="0">
    <w:p w:rsidR="00EE1FEA" w:rsidRDefault="00EE1FEA" w:rsidP="0064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EA" w:rsidRDefault="00EE1FEA" w:rsidP="00642766">
      <w:r>
        <w:separator/>
      </w:r>
    </w:p>
  </w:footnote>
  <w:footnote w:type="continuationSeparator" w:id="0">
    <w:p w:rsidR="00EE1FEA" w:rsidRDefault="00EE1FEA" w:rsidP="0064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165142"/>
    <w:lvl w:ilvl="0">
      <w:numFmt w:val="decimal"/>
      <w:lvlText w:val="*"/>
      <w:lvlJc w:val="left"/>
    </w:lvl>
  </w:abstractNum>
  <w:abstractNum w:abstractNumId="1" w15:restartNumberingAfterBreak="0">
    <w:nsid w:val="0060123C"/>
    <w:multiLevelType w:val="hybridMultilevel"/>
    <w:tmpl w:val="7F2EA82C"/>
    <w:lvl w:ilvl="0" w:tplc="128CEEEE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" w15:restartNumberingAfterBreak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07141A"/>
    <w:multiLevelType w:val="hybridMultilevel"/>
    <w:tmpl w:val="B9FA4E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93307FF"/>
    <w:multiLevelType w:val="singleLevel"/>
    <w:tmpl w:val="CBBCA07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5" w15:restartNumberingAfterBreak="0">
    <w:nsid w:val="144D1393"/>
    <w:multiLevelType w:val="hybridMultilevel"/>
    <w:tmpl w:val="2B62A4F0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67E1E5B"/>
    <w:multiLevelType w:val="singleLevel"/>
    <w:tmpl w:val="D10A25E2"/>
    <w:lvl w:ilvl="0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7" w15:restartNumberingAfterBreak="0">
    <w:nsid w:val="1BFD76E5"/>
    <w:multiLevelType w:val="hybridMultilevel"/>
    <w:tmpl w:val="7D20D41E"/>
    <w:lvl w:ilvl="0" w:tplc="FFFFFFFF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110077C">
      <w:start w:val="1"/>
      <w:numFmt w:val="taiwaneseCountingThousand"/>
      <w:lvlText w:val="%2、"/>
      <w:lvlJc w:val="left"/>
      <w:pPr>
        <w:ind w:left="960" w:hanging="480"/>
      </w:pPr>
      <w:rPr>
        <w:rFonts w:cs="標楷體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DA7BCD"/>
    <w:multiLevelType w:val="hybridMultilevel"/>
    <w:tmpl w:val="97D2C6D6"/>
    <w:lvl w:ilvl="0" w:tplc="1DE05B1C">
      <w:start w:val="1"/>
      <w:numFmt w:val="decimal"/>
      <w:lvlText w:val="(%1)"/>
      <w:lvlJc w:val="left"/>
      <w:pPr>
        <w:ind w:left="156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9" w15:restartNumberingAfterBreak="0">
    <w:nsid w:val="30160592"/>
    <w:multiLevelType w:val="hybridMultilevel"/>
    <w:tmpl w:val="D34CB372"/>
    <w:lvl w:ilvl="0" w:tplc="A20C4486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0" w15:restartNumberingAfterBreak="0">
    <w:nsid w:val="31CE6B07"/>
    <w:multiLevelType w:val="singleLevel"/>
    <w:tmpl w:val="5C0249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38414B59"/>
    <w:multiLevelType w:val="singleLevel"/>
    <w:tmpl w:val="CA68A7A8"/>
    <w:lvl w:ilvl="0">
      <w:start w:val="1"/>
      <w:numFmt w:val="decimal"/>
      <w:lvlText w:val="%1."/>
      <w:legacy w:legacy="1" w:legacySpace="0" w:legacyIndent="120"/>
      <w:lvlJc w:val="left"/>
      <w:pPr>
        <w:ind w:left="120" w:hanging="12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2" w15:restartNumberingAfterBreak="0">
    <w:nsid w:val="3D6628C7"/>
    <w:multiLevelType w:val="singleLevel"/>
    <w:tmpl w:val="19C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3" w15:restartNumberingAfterBreak="0">
    <w:nsid w:val="41796F70"/>
    <w:multiLevelType w:val="hybridMultilevel"/>
    <w:tmpl w:val="43C2C666"/>
    <w:lvl w:ilvl="0" w:tplc="EEEA2488">
      <w:start w:val="1"/>
      <w:numFmt w:val="taiwaneseCountingThousand"/>
      <w:lvlText w:val="（%1）"/>
      <w:lvlJc w:val="left"/>
      <w:pPr>
        <w:ind w:left="986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4" w15:restartNumberingAfterBreak="0">
    <w:nsid w:val="43D639E0"/>
    <w:multiLevelType w:val="hybridMultilevel"/>
    <w:tmpl w:val="6F6274EC"/>
    <w:lvl w:ilvl="0" w:tplc="0A8AA2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E1784"/>
    <w:multiLevelType w:val="singleLevel"/>
    <w:tmpl w:val="E87EBEA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</w:abstractNum>
  <w:abstractNum w:abstractNumId="16" w15:restartNumberingAfterBreak="0">
    <w:nsid w:val="4CAB121C"/>
    <w:multiLevelType w:val="hybridMultilevel"/>
    <w:tmpl w:val="2D989CB2"/>
    <w:lvl w:ilvl="0" w:tplc="EE76C02C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7" w15:restartNumberingAfterBreak="0">
    <w:nsid w:val="5C976011"/>
    <w:multiLevelType w:val="singleLevel"/>
    <w:tmpl w:val="E87EBEA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</w:abstractNum>
  <w:abstractNum w:abstractNumId="18" w15:restartNumberingAfterBreak="0">
    <w:nsid w:val="5D001BCA"/>
    <w:multiLevelType w:val="singleLevel"/>
    <w:tmpl w:val="B4FA546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19" w15:restartNumberingAfterBreak="0">
    <w:nsid w:val="60E45965"/>
    <w:multiLevelType w:val="singleLevel"/>
    <w:tmpl w:val="7D6C34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61233A4C"/>
    <w:multiLevelType w:val="singleLevel"/>
    <w:tmpl w:val="81F8664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1" w15:restartNumberingAfterBreak="0">
    <w:nsid w:val="7DEE5555"/>
    <w:multiLevelType w:val="hybridMultilevel"/>
    <w:tmpl w:val="92A2E768"/>
    <w:lvl w:ilvl="0" w:tplc="3514C3E8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2"/>
  </w:num>
  <w:num w:numId="5">
    <w:abstractNumId w:val="19"/>
  </w:num>
  <w:num w:numId="6">
    <w:abstractNumId w:val="4"/>
  </w:num>
  <w:num w:numId="7">
    <w:abstractNumId w:val="18"/>
  </w:num>
  <w:num w:numId="8">
    <w:abstractNumId w:val="5"/>
  </w:num>
  <w:num w:numId="9">
    <w:abstractNumId w:val="3"/>
  </w:num>
  <w:num w:numId="10">
    <w:abstractNumId w:val="11"/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0"/>
        </w:rPr>
      </w:lvl>
    </w:lvlOverride>
  </w:num>
  <w:num w:numId="12">
    <w:abstractNumId w:val="13"/>
  </w:num>
  <w:num w:numId="13">
    <w:abstractNumId w:val="21"/>
  </w:num>
  <w:num w:numId="14">
    <w:abstractNumId w:val="16"/>
  </w:num>
  <w:num w:numId="15">
    <w:abstractNumId w:val="7"/>
  </w:num>
  <w:num w:numId="16">
    <w:abstractNumId w:val="17"/>
  </w:num>
  <w:num w:numId="17">
    <w:abstractNumId w:val="15"/>
  </w:num>
  <w:num w:numId="18">
    <w:abstractNumId w:val="2"/>
  </w:num>
  <w:num w:numId="19">
    <w:abstractNumId w:val="14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67"/>
    <w:rsid w:val="000016ED"/>
    <w:rsid w:val="000C0CA7"/>
    <w:rsid w:val="0013064E"/>
    <w:rsid w:val="00146D60"/>
    <w:rsid w:val="00146EA1"/>
    <w:rsid w:val="001C30DF"/>
    <w:rsid w:val="00200A87"/>
    <w:rsid w:val="002055FD"/>
    <w:rsid w:val="002304E8"/>
    <w:rsid w:val="00272B17"/>
    <w:rsid w:val="002B2F4C"/>
    <w:rsid w:val="002F1C12"/>
    <w:rsid w:val="00315AC9"/>
    <w:rsid w:val="003B4434"/>
    <w:rsid w:val="003C404C"/>
    <w:rsid w:val="003C75C7"/>
    <w:rsid w:val="00411340"/>
    <w:rsid w:val="004C2988"/>
    <w:rsid w:val="0051413B"/>
    <w:rsid w:val="005E4E36"/>
    <w:rsid w:val="0062424C"/>
    <w:rsid w:val="00642766"/>
    <w:rsid w:val="00645177"/>
    <w:rsid w:val="00672ED6"/>
    <w:rsid w:val="007865F4"/>
    <w:rsid w:val="008021BE"/>
    <w:rsid w:val="008A72A3"/>
    <w:rsid w:val="008E6D88"/>
    <w:rsid w:val="008F7976"/>
    <w:rsid w:val="00924166"/>
    <w:rsid w:val="009C48D0"/>
    <w:rsid w:val="009E1925"/>
    <w:rsid w:val="00A6129F"/>
    <w:rsid w:val="00A92D4F"/>
    <w:rsid w:val="00B0330E"/>
    <w:rsid w:val="00B11EB6"/>
    <w:rsid w:val="00B91820"/>
    <w:rsid w:val="00BD52E1"/>
    <w:rsid w:val="00BE38A0"/>
    <w:rsid w:val="00C01262"/>
    <w:rsid w:val="00E26467"/>
    <w:rsid w:val="00EE1FEA"/>
    <w:rsid w:val="00F72180"/>
    <w:rsid w:val="00FB5DC7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8AE31"/>
  <w15:chartTrackingRefBased/>
  <w15:docId w15:val="{A6EF539C-4953-4B33-B772-6B7A294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26467"/>
    <w:pPr>
      <w:autoSpaceDE w:val="0"/>
      <w:autoSpaceDN w:val="0"/>
      <w:adjustRightInd w:val="0"/>
      <w:outlineLvl w:val="0"/>
    </w:pPr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paragraph" w:styleId="2">
    <w:name w:val="heading 2"/>
    <w:basedOn w:val="a"/>
    <w:next w:val="a"/>
    <w:link w:val="20"/>
    <w:qFormat/>
    <w:rsid w:val="00E26467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kern w:val="0"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26467"/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character" w:customStyle="1" w:styleId="20">
    <w:name w:val="標題 2 字元"/>
    <w:basedOn w:val="a0"/>
    <w:link w:val="2"/>
    <w:rsid w:val="00E26467"/>
    <w:rPr>
      <w:rFonts w:ascii="Times New Roman" w:eastAsia="新細明體" w:hAnsi="Times New Roman" w:cs="Times New Roman"/>
      <w:kern w:val="0"/>
      <w:sz w:val="32"/>
      <w:szCs w:val="32"/>
      <w:lang w:val="zh-TW"/>
    </w:rPr>
  </w:style>
  <w:style w:type="numbering" w:customStyle="1" w:styleId="11">
    <w:name w:val="無清單1"/>
    <w:next w:val="a2"/>
    <w:uiPriority w:val="99"/>
    <w:semiHidden/>
    <w:unhideWhenUsed/>
    <w:rsid w:val="00E26467"/>
  </w:style>
  <w:style w:type="paragraph" w:styleId="a3">
    <w:name w:val="Body Text"/>
    <w:basedOn w:val="a"/>
    <w:link w:val="a4"/>
    <w:semiHidden/>
    <w:rsid w:val="00E26467"/>
    <w:pPr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E26467"/>
    <w:rPr>
      <w:rFonts w:ascii="Times New Roman" w:eastAsia="標楷體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E264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46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E26467"/>
  </w:style>
  <w:style w:type="paragraph" w:styleId="a8">
    <w:name w:val="Body Text Indent"/>
    <w:basedOn w:val="a"/>
    <w:link w:val="a9"/>
    <w:semiHidden/>
    <w:rsid w:val="00E26467"/>
    <w:pPr>
      <w:spacing w:line="240" w:lineRule="atLeast"/>
      <w:ind w:leftChars="502" w:left="1205"/>
    </w:pPr>
    <w:rPr>
      <w:rFonts w:ascii="標楷體" w:eastAsia="標楷體" w:hAnsi="Times New Roman" w:cs="Times New Roman"/>
      <w:szCs w:val="20"/>
      <w:u w:val="single"/>
    </w:rPr>
  </w:style>
  <w:style w:type="character" w:customStyle="1" w:styleId="a9">
    <w:name w:val="本文縮排 字元"/>
    <w:basedOn w:val="a0"/>
    <w:link w:val="a8"/>
    <w:semiHidden/>
    <w:rsid w:val="00E26467"/>
    <w:rPr>
      <w:rFonts w:ascii="標楷體" w:eastAsia="標楷體" w:hAnsi="Times New Roman" w:cs="Times New Roman"/>
      <w:szCs w:val="20"/>
      <w:u w:val="single"/>
    </w:rPr>
  </w:style>
  <w:style w:type="paragraph" w:styleId="21">
    <w:name w:val="Body Text Indent 2"/>
    <w:basedOn w:val="a"/>
    <w:link w:val="22"/>
    <w:semiHidden/>
    <w:rsid w:val="00E26467"/>
    <w:pPr>
      <w:spacing w:line="240" w:lineRule="atLeast"/>
      <w:ind w:leftChars="502" w:left="1205"/>
    </w:pPr>
    <w:rPr>
      <w:rFonts w:ascii="標楷體" w:eastAsia="標楷體" w:hAnsi="Times New Roman" w:cs="Times New Roman"/>
      <w:szCs w:val="20"/>
    </w:rPr>
  </w:style>
  <w:style w:type="character" w:customStyle="1" w:styleId="22">
    <w:name w:val="本文縮排 2 字元"/>
    <w:basedOn w:val="a0"/>
    <w:link w:val="21"/>
    <w:semiHidden/>
    <w:rsid w:val="00E26467"/>
    <w:rPr>
      <w:rFonts w:ascii="標楷體" w:eastAsia="標楷體" w:hAnsi="Times New Roman" w:cs="Times New Roman"/>
      <w:szCs w:val="20"/>
    </w:rPr>
  </w:style>
  <w:style w:type="paragraph" w:styleId="23">
    <w:name w:val="Body Text 2"/>
    <w:basedOn w:val="a"/>
    <w:link w:val="24"/>
    <w:semiHidden/>
    <w:rsid w:val="00E26467"/>
    <w:rPr>
      <w:rFonts w:ascii="Times New Roman" w:eastAsia="標楷體" w:hAnsi="Times New Roman" w:cs="Times New Roman"/>
      <w:w w:val="80"/>
      <w:sz w:val="20"/>
      <w:szCs w:val="20"/>
    </w:rPr>
  </w:style>
  <w:style w:type="character" w:customStyle="1" w:styleId="24">
    <w:name w:val="本文 2 字元"/>
    <w:basedOn w:val="a0"/>
    <w:link w:val="23"/>
    <w:semiHidden/>
    <w:rsid w:val="00E26467"/>
    <w:rPr>
      <w:rFonts w:ascii="Times New Roman" w:eastAsia="標楷體" w:hAnsi="Times New Roman" w:cs="Times New Roman"/>
      <w:w w:val="80"/>
      <w:sz w:val="20"/>
      <w:szCs w:val="20"/>
    </w:rPr>
  </w:style>
  <w:style w:type="paragraph" w:styleId="aa">
    <w:name w:val="header"/>
    <w:basedOn w:val="a"/>
    <w:link w:val="ab"/>
    <w:uiPriority w:val="99"/>
    <w:rsid w:val="00E264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26467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nhideWhenUsed/>
    <w:rsid w:val="00E26467"/>
    <w:rPr>
      <w:color w:val="0000FF"/>
      <w:u w:val="single"/>
    </w:rPr>
  </w:style>
  <w:style w:type="table" w:styleId="ad">
    <w:name w:val="Table Grid"/>
    <w:basedOn w:val="a1"/>
    <w:uiPriority w:val="59"/>
    <w:rsid w:val="00E264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26467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2646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26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List Paragraph"/>
    <w:basedOn w:val="a"/>
    <w:uiPriority w:val="34"/>
    <w:qFormat/>
    <w:rsid w:val="00E26467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2022-06-14T06:25:00Z</dcterms:created>
  <dcterms:modified xsi:type="dcterms:W3CDTF">2022-06-14T06:25:00Z</dcterms:modified>
</cp:coreProperties>
</file>