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新細明體" w:cs="新細明體" w:eastAsia="新細明體" w:hAnsi="新細明體"/>
          <w:b w:val="0"/>
          <w:sz w:val="32"/>
          <w:szCs w:val="32"/>
          <w:vertAlign w:val="baseline"/>
          <w:rtl w:val="0"/>
        </w:rPr>
        <w:t xml:space="preserve">105學年度行銷與流通管理系碩士班課程結構規畫表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                                                                                   105學年度入學學生適用1050324</w:t>
      </w:r>
    </w:p>
    <w:tbl>
      <w:tblPr>
        <w:tblStyle w:val="Table1"/>
        <w:bidi w:val="0"/>
        <w:tblW w:w="14263.999999999998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68"/>
        <w:gridCol w:w="3120"/>
        <w:gridCol w:w="3720"/>
        <w:gridCol w:w="3000"/>
        <w:gridCol w:w="2356"/>
        <w:tblGridChange w:id="0">
          <w:tblGrid>
            <w:gridCol w:w="2068"/>
            <w:gridCol w:w="3120"/>
            <w:gridCol w:w="3720"/>
            <w:gridCol w:w="3000"/>
            <w:gridCol w:w="2356"/>
          </w:tblGrid>
        </w:tblGridChange>
      </w:tblGrid>
      <w:t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研一上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研一下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研二上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研二下</w:t>
            </w:r>
          </w:p>
        </w:tc>
      </w:tr>
      <w:t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核心必修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(20學分)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行銷管理專題(3)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【方法論】研究方法(3)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消費者行為專題(3)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論文(6)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專題講座1(1)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論文(6)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專題講座2(1)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論文(6)</w:t>
            </w:r>
          </w:p>
        </w:tc>
      </w:tr>
      <w:t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方法論(3學分)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【任選一門】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多變量分析(3)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定性研究方法(3)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bottom w:color="000000" w:space="0" w:sz="4" w:val="single"/>
            </w:tcBorders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專業選修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零售管理專題(3)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組織管理專題(3)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整合型行銷溝通專題(3)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人力資源管理專題(3) 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*國際企業管理專題(3)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*國際行銷專題(3)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服務行銷專題(3)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定價策略與管理專題(3)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連鎖企業管理專題(3)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行銷企劃實務專題(3)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產品創新與品牌管理專題(3)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color w:val="ff0000"/>
                <w:sz w:val="24"/>
                <w:szCs w:val="24"/>
                <w:vertAlign w:val="baseline"/>
                <w:rtl w:val="0"/>
              </w:rPr>
              <w:t xml:space="preserve">*策略行銷 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通路策略與管理專題(3)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產業行銷專題(3)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u w:val="single"/>
                <w:vertAlign w:val="baseline"/>
                <w:rtl w:val="0"/>
              </w:rPr>
              <w:t xml:space="preserve">創新管理專題(3)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經營管理專題(3)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亞洲流通專題(3)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顧客關係管理專題(3)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電子商務專題(3)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*國際通路管理專題(3)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業態趨勢專題(3)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知識管理專題(3)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競爭策略專題(3)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*國際零售專題(3)</w:t>
            </w:r>
          </w:p>
        </w:tc>
      </w:tr>
      <w:t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開課學分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6~21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15~39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7~25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7~19</w:t>
            </w:r>
          </w:p>
        </w:tc>
      </w:tr>
    </w:tbl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新細明體" w:cs="新細明體" w:eastAsia="新細明體" w:hAnsi="新細明體"/>
          <w:b w:val="0"/>
          <w:sz w:val="20"/>
          <w:szCs w:val="20"/>
        </w:rPr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最低學分38學分(不含論文6學分)，凡未修過下列課程者均需補修大學部課程：管理學、應用統計學或統計學(0學分)。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新細明體" w:cs="新細明體" w:eastAsia="新細明體" w:hAnsi="新細明體"/>
          <w:b w:val="0"/>
          <w:sz w:val="20"/>
          <w:szCs w:val="20"/>
        </w:rPr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國際行銷學程課程皆採用英文授課。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新細明體" w:cs="新細明體" w:eastAsia="新細明體" w:hAnsi="新細明體"/>
          <w:b w:val="0"/>
          <w:sz w:val="20"/>
          <w:szCs w:val="20"/>
        </w:rPr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論文擇一學期修讀。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新細明體" w:cs="新細明體" w:eastAsia="新細明體" w:hAnsi="新細明體"/>
          <w:b w:val="0"/>
          <w:sz w:val="20"/>
          <w:szCs w:val="20"/>
        </w:rPr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如經他系或外校同意，可選修他系或外校碩士班課程，惟至多承認7學分。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0"/>
          <w:szCs w:val="20"/>
          <w:vertAlign w:val="baseline"/>
          <w:rtl w:val="0"/>
        </w:rPr>
        <w:t xml:space="preserve">&lt;*&gt;表示以英文授課。</w:t>
      </w:r>
      <w:r w:rsidDel="00000000" w:rsidR="00000000" w:rsidRPr="00000000">
        <w:rPr>
          <w:rtl w:val="0"/>
        </w:rPr>
      </w:r>
    </w:p>
    <w:sectPr>
      <w:footerReference r:id="rId5" w:type="default"/>
      <w:pgSz w:h="11907" w:w="16840"/>
      <w:pgMar w:bottom="1134" w:top="1418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新細明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153"/>
        <w:tab w:val="right" w:pos="8306"/>
      </w:tabs>
      <w:spacing w:after="0" w:before="0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153"/>
        <w:tab w:val="right" w:pos="8306"/>
      </w:tabs>
      <w:spacing w:after="992" w:before="0" w:line="240" w:lineRule="auto"/>
      <w:ind w:right="360" w:firstLine="360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21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